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2F60F" w14:textId="77777777" w:rsidR="00D73939" w:rsidRPr="007E4A7C" w:rsidRDefault="00D73939" w:rsidP="00D73939">
      <w:pPr>
        <w:pStyle w:val="PargrafodaLista"/>
        <w:tabs>
          <w:tab w:val="num" w:pos="720"/>
        </w:tabs>
        <w:rPr>
          <w:rFonts w:cstheme="minorHAnsi"/>
          <w:sz w:val="24"/>
          <w:szCs w:val="24"/>
        </w:rPr>
      </w:pPr>
      <w:bookmarkStart w:id="0" w:name="_Hlk73113735"/>
      <w:bookmarkStart w:id="1" w:name="_Hlk73126350"/>
      <w:r w:rsidRPr="007E4A7C">
        <w:rPr>
          <w:rFonts w:cstheme="minorHAnsi"/>
          <w:sz w:val="24"/>
          <w:szCs w:val="24"/>
        </w:rPr>
        <w:t>Relatório Agregado 2020</w:t>
      </w:r>
    </w:p>
    <w:p w14:paraId="4BE68753" w14:textId="4A4AD8E3" w:rsidR="00D73939" w:rsidRPr="007E4A7C" w:rsidRDefault="00D73939" w:rsidP="00D73939">
      <w:pPr>
        <w:pStyle w:val="PargrafodaLista"/>
        <w:tabs>
          <w:tab w:val="num" w:pos="720"/>
        </w:tabs>
        <w:rPr>
          <w:rFonts w:cstheme="minorHAnsi"/>
          <w:sz w:val="24"/>
          <w:szCs w:val="24"/>
        </w:rPr>
      </w:pPr>
      <w:r w:rsidRPr="007E4A7C">
        <w:rPr>
          <w:rFonts w:cstheme="minorHAnsi"/>
          <w:sz w:val="24"/>
          <w:szCs w:val="24"/>
        </w:rPr>
        <w:t xml:space="preserve">Empresa: </w:t>
      </w:r>
      <w:bookmarkEnd w:id="0"/>
      <w:r>
        <w:rPr>
          <w:rFonts w:cstheme="minorHAnsi"/>
          <w:sz w:val="24"/>
          <w:szCs w:val="24"/>
        </w:rPr>
        <w:t>Banco do Nordeste - BNB</w:t>
      </w:r>
    </w:p>
    <w:bookmarkEnd w:id="1"/>
    <w:p w14:paraId="4BF24373" w14:textId="646DCB9F" w:rsidR="00A50512" w:rsidRPr="00D73939" w:rsidRDefault="00A50512" w:rsidP="00A50512">
      <w:pPr>
        <w:rPr>
          <w:rFonts w:cstheme="minorHAnsi"/>
          <w:color w:val="8EAADB" w:themeColor="accent1" w:themeTint="99"/>
          <w:sz w:val="24"/>
          <w:szCs w:val="24"/>
        </w:rPr>
      </w:pPr>
      <w:r w:rsidRPr="00D73939">
        <w:rPr>
          <w:rFonts w:cstheme="minorHAnsi"/>
          <w:color w:val="8EAADB" w:themeColor="accent1" w:themeTint="99"/>
          <w:sz w:val="24"/>
          <w:szCs w:val="24"/>
        </w:rPr>
        <w:t>Fontes:</w:t>
      </w:r>
    </w:p>
    <w:p w14:paraId="397D863E" w14:textId="0D76FE67" w:rsidR="00D61EBE" w:rsidRPr="00D73939" w:rsidRDefault="004356CE" w:rsidP="00A50512">
      <w:pPr>
        <w:rPr>
          <w:rFonts w:cstheme="minorHAnsi"/>
          <w:color w:val="8EAADB" w:themeColor="accent1" w:themeTint="99"/>
          <w:sz w:val="24"/>
          <w:szCs w:val="24"/>
        </w:rPr>
      </w:pPr>
      <w:r w:rsidRPr="00D73939">
        <w:rPr>
          <w:rFonts w:cstheme="minorHAnsi"/>
          <w:color w:val="8EAADB" w:themeColor="accent1" w:themeTint="99"/>
          <w:sz w:val="24"/>
          <w:szCs w:val="24"/>
        </w:rPr>
        <w:t xml:space="preserve">Relatório Microfinanças 2020 - </w:t>
      </w:r>
      <w:hyperlink r:id="rId6" w:history="1">
        <w:r w:rsidRPr="00D73939">
          <w:rPr>
            <w:rFonts w:cstheme="minorHAnsi"/>
            <w:color w:val="8EAADB" w:themeColor="accent1" w:themeTint="99"/>
            <w:sz w:val="24"/>
            <w:szCs w:val="24"/>
          </w:rPr>
          <w:t>https://www.bnb.gov.br/documents/8047884/0/RELAT%C3%93RIO+2020+-+CREDIAMIGO+E+AGROAMIGO.pdf/c7f201d6-a503-3152-505e-f5c0e1022b03</w:t>
        </w:r>
      </w:hyperlink>
    </w:p>
    <w:p w14:paraId="290A708A" w14:textId="68C8847B" w:rsidR="004356CE" w:rsidRPr="00D73939" w:rsidRDefault="004356CE" w:rsidP="00A50512">
      <w:pPr>
        <w:rPr>
          <w:rFonts w:cstheme="minorHAnsi"/>
          <w:color w:val="8EAADB" w:themeColor="accent1" w:themeTint="99"/>
          <w:sz w:val="24"/>
          <w:szCs w:val="24"/>
        </w:rPr>
      </w:pPr>
      <w:r w:rsidRPr="00D73939">
        <w:rPr>
          <w:rFonts w:cstheme="minorHAnsi"/>
          <w:color w:val="8EAADB" w:themeColor="accent1" w:themeTint="99"/>
          <w:sz w:val="24"/>
          <w:szCs w:val="24"/>
        </w:rPr>
        <w:t xml:space="preserve">Relatórios de sustentabilidade - </w:t>
      </w:r>
      <w:hyperlink r:id="rId7" w:history="1">
        <w:r w:rsidRPr="00D73939">
          <w:rPr>
            <w:rFonts w:cstheme="minorHAnsi"/>
            <w:color w:val="8EAADB" w:themeColor="accent1" w:themeTint="99"/>
            <w:sz w:val="24"/>
            <w:szCs w:val="24"/>
          </w:rPr>
          <w:t>https://www.bnb.gov.br/relatorios-de-sustentabilidade</w:t>
        </w:r>
      </w:hyperlink>
    </w:p>
    <w:p w14:paraId="6DA34397" w14:textId="512399F0" w:rsidR="006741D7" w:rsidRPr="00AF1632" w:rsidRDefault="00F837D1" w:rsidP="00AF1632">
      <w:pPr>
        <w:pStyle w:val="PargrafodaLista"/>
        <w:numPr>
          <w:ilvl w:val="0"/>
          <w:numId w:val="14"/>
        </w:numPr>
        <w:tabs>
          <w:tab w:val="num" w:pos="360"/>
        </w:tabs>
        <w:jc w:val="both"/>
        <w:rPr>
          <w:rFonts w:cstheme="minorHAnsi"/>
          <w:color w:val="333333"/>
          <w:sz w:val="24"/>
          <w:szCs w:val="24"/>
          <w:shd w:val="clear" w:color="auto" w:fill="FFFFFF"/>
        </w:rPr>
      </w:pPr>
      <w:r w:rsidRPr="00AF1632">
        <w:rPr>
          <w:rFonts w:cstheme="minorHAnsi"/>
          <w:color w:val="333333"/>
          <w:sz w:val="24"/>
          <w:szCs w:val="24"/>
          <w:shd w:val="clear" w:color="auto" w:fill="FFFFFF"/>
        </w:rPr>
        <w:t>O</w:t>
      </w:r>
      <w:r w:rsidR="006741D7" w:rsidRPr="00AF1632">
        <w:rPr>
          <w:rFonts w:cstheme="minorHAnsi"/>
          <w:color w:val="333333"/>
          <w:sz w:val="24"/>
          <w:szCs w:val="24"/>
          <w:shd w:val="clear" w:color="auto" w:fill="FFFFFF"/>
        </w:rPr>
        <w:t xml:space="preserve"> BNB</w:t>
      </w:r>
      <w:r w:rsidR="00D61EBE" w:rsidRPr="00AF1632">
        <w:rPr>
          <w:rFonts w:cstheme="minorHAnsi"/>
          <w:color w:val="333333"/>
          <w:sz w:val="24"/>
          <w:szCs w:val="24"/>
          <w:shd w:val="clear" w:color="auto" w:fill="FFFFFF"/>
        </w:rPr>
        <w:t xml:space="preserve"> tem a maior participação no mercado de Microcrédito Produtivo Orientado. Em 2020, o </w:t>
      </w:r>
      <w:r w:rsidR="006741D7" w:rsidRPr="00AF1632">
        <w:rPr>
          <w:rFonts w:cstheme="minorHAnsi"/>
          <w:color w:val="333333"/>
          <w:sz w:val="24"/>
          <w:szCs w:val="24"/>
          <w:shd w:val="clear" w:color="auto" w:fill="FFFFFF"/>
        </w:rPr>
        <w:t>banco</w:t>
      </w:r>
      <w:r w:rsidR="00D61EBE" w:rsidRPr="00AF1632">
        <w:rPr>
          <w:rFonts w:cstheme="minorHAnsi"/>
          <w:color w:val="333333"/>
          <w:sz w:val="24"/>
          <w:szCs w:val="24"/>
          <w:shd w:val="clear" w:color="auto" w:fill="FFFFFF"/>
        </w:rPr>
        <w:t xml:space="preserve"> represen</w:t>
      </w:r>
      <w:r w:rsidRPr="00AF1632">
        <w:rPr>
          <w:rFonts w:cstheme="minorHAnsi"/>
          <w:color w:val="333333"/>
          <w:sz w:val="24"/>
          <w:szCs w:val="24"/>
          <w:shd w:val="clear" w:color="auto" w:fill="FFFFFF"/>
        </w:rPr>
        <w:t>tava 87,6% do total da carteira (pessoas físicas – microcrédito destinado e microempreendedores).</w:t>
      </w:r>
    </w:p>
    <w:p w14:paraId="45F265D0" w14:textId="2BDEB6A6" w:rsidR="00FF5E5F" w:rsidRPr="00AF1632" w:rsidRDefault="00FF5E5F" w:rsidP="00AF1632">
      <w:pPr>
        <w:pStyle w:val="PargrafodaLista"/>
        <w:numPr>
          <w:ilvl w:val="0"/>
          <w:numId w:val="14"/>
        </w:numPr>
        <w:tabs>
          <w:tab w:val="num" w:pos="360"/>
        </w:tabs>
        <w:jc w:val="both"/>
        <w:rPr>
          <w:rFonts w:cstheme="minorHAnsi"/>
          <w:color w:val="333333"/>
          <w:sz w:val="24"/>
          <w:szCs w:val="24"/>
          <w:shd w:val="clear" w:color="auto" w:fill="FFFFFF"/>
        </w:rPr>
      </w:pPr>
      <w:r w:rsidRPr="00AF1632">
        <w:rPr>
          <w:rFonts w:cstheme="minorHAnsi"/>
          <w:color w:val="333333"/>
          <w:sz w:val="24"/>
          <w:szCs w:val="24"/>
          <w:shd w:val="clear" w:color="auto" w:fill="FFFFFF"/>
        </w:rPr>
        <w:t>Os programas de microcrédito do BNB possuíam 3.538,7 mil clientes ativos em 2020, com valor total contratado de R$ 15.017,4 milhões.</w:t>
      </w:r>
    </w:p>
    <w:p w14:paraId="12D8EB8D" w14:textId="5DB19F0A" w:rsidR="009F6B82" w:rsidRDefault="009F6B82" w:rsidP="00BD40A1">
      <w:pPr>
        <w:tabs>
          <w:tab w:val="num" w:pos="360"/>
        </w:tabs>
        <w:ind w:left="426" w:hanging="66"/>
        <w:jc w:val="center"/>
        <w:rPr>
          <w:rStyle w:val="A9"/>
          <w:rFonts w:ascii="Times New Roman" w:hAnsi="Times New Roman" w:cs="Times New Roman"/>
          <w:sz w:val="24"/>
          <w:szCs w:val="24"/>
        </w:rPr>
      </w:pPr>
    </w:p>
    <w:p w14:paraId="16BB83A7" w14:textId="006A1C54" w:rsidR="009F6B82" w:rsidRDefault="009F6B82" w:rsidP="00BD40A1">
      <w:pPr>
        <w:tabs>
          <w:tab w:val="num" w:pos="360"/>
        </w:tabs>
        <w:ind w:left="426" w:hanging="66"/>
        <w:jc w:val="center"/>
        <w:rPr>
          <w:rStyle w:val="A9"/>
          <w:rFonts w:ascii="Times New Roman" w:hAnsi="Times New Roman" w:cs="Times New Roman"/>
          <w:sz w:val="24"/>
          <w:szCs w:val="24"/>
        </w:rPr>
      </w:pPr>
      <w:r>
        <w:rPr>
          <w:noProof/>
          <w:lang w:eastAsia="pt-BR"/>
        </w:rPr>
        <w:drawing>
          <wp:inline distT="0" distB="0" distL="0" distR="0" wp14:anchorId="01CD6D3B" wp14:editId="6F9676CC">
            <wp:extent cx="2849472" cy="2853241"/>
            <wp:effectExtent l="0" t="0" r="8255" b="444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61662" cy="2865447"/>
                    </a:xfrm>
                    <a:prstGeom prst="rect">
                      <a:avLst/>
                    </a:prstGeom>
                  </pic:spPr>
                </pic:pic>
              </a:graphicData>
            </a:graphic>
          </wp:inline>
        </w:drawing>
      </w:r>
    </w:p>
    <w:p w14:paraId="78F5CBB6" w14:textId="77777777" w:rsidR="00FB4AE8" w:rsidRPr="009F6B82" w:rsidRDefault="00FB4AE8" w:rsidP="00BD40A1">
      <w:pPr>
        <w:tabs>
          <w:tab w:val="num" w:pos="360"/>
        </w:tabs>
        <w:ind w:left="426" w:hanging="66"/>
        <w:jc w:val="center"/>
        <w:rPr>
          <w:rStyle w:val="A9"/>
          <w:rFonts w:ascii="Times New Roman" w:hAnsi="Times New Roman" w:cs="Times New Roman"/>
          <w:sz w:val="24"/>
          <w:szCs w:val="24"/>
        </w:rPr>
      </w:pPr>
    </w:p>
    <w:p w14:paraId="22ED8050" w14:textId="7578CBC9" w:rsidR="00D73939" w:rsidRDefault="00D73939" w:rsidP="00BD40A1">
      <w:pPr>
        <w:numPr>
          <w:ilvl w:val="0"/>
          <w:numId w:val="1"/>
        </w:numPr>
        <w:tabs>
          <w:tab w:val="clear" w:pos="720"/>
          <w:tab w:val="num" w:pos="360"/>
        </w:tabs>
        <w:ind w:left="426" w:hanging="66"/>
        <w:jc w:val="both"/>
        <w:rPr>
          <w:rFonts w:cstheme="minorHAnsi"/>
          <w:color w:val="538135" w:themeColor="accent6" w:themeShade="BF"/>
          <w:sz w:val="24"/>
          <w:szCs w:val="24"/>
        </w:rPr>
      </w:pPr>
      <w:r>
        <w:rPr>
          <w:rFonts w:cstheme="minorHAnsi"/>
          <w:color w:val="538135" w:themeColor="accent6" w:themeShade="BF"/>
          <w:sz w:val="24"/>
          <w:szCs w:val="24"/>
        </w:rPr>
        <w:t>Ações ASG:</w:t>
      </w:r>
    </w:p>
    <w:p w14:paraId="13D76337" w14:textId="31C11528" w:rsidR="007B2AC5" w:rsidRDefault="007B2AC5" w:rsidP="007B2AC5">
      <w:pPr>
        <w:pStyle w:val="PargrafodaLista"/>
        <w:tabs>
          <w:tab w:val="num" w:pos="360"/>
        </w:tabs>
        <w:ind w:left="426"/>
        <w:jc w:val="both"/>
        <w:rPr>
          <w:rFonts w:cstheme="minorHAnsi"/>
          <w:color w:val="333333"/>
          <w:sz w:val="24"/>
          <w:szCs w:val="24"/>
          <w:shd w:val="clear" w:color="auto" w:fill="FFFFFF"/>
        </w:rPr>
      </w:pPr>
      <w:r w:rsidRPr="00AF1632">
        <w:rPr>
          <w:rFonts w:cstheme="minorHAnsi"/>
          <w:color w:val="333333"/>
          <w:sz w:val="24"/>
          <w:szCs w:val="24"/>
          <w:shd w:val="clear" w:color="auto" w:fill="FFFFFF"/>
        </w:rPr>
        <w:t>Em 2020, 54,6% dos clientes do Crediamigo estava</w:t>
      </w:r>
      <w:r>
        <w:rPr>
          <w:rFonts w:cstheme="minorHAnsi"/>
          <w:color w:val="333333"/>
          <w:sz w:val="24"/>
          <w:szCs w:val="24"/>
          <w:shd w:val="clear" w:color="auto" w:fill="FFFFFF"/>
        </w:rPr>
        <w:t>m</w:t>
      </w:r>
      <w:r w:rsidRPr="00AF1632">
        <w:rPr>
          <w:rFonts w:cstheme="minorHAnsi"/>
          <w:color w:val="333333"/>
          <w:sz w:val="24"/>
          <w:szCs w:val="24"/>
          <w:shd w:val="clear" w:color="auto" w:fill="FFFFFF"/>
        </w:rPr>
        <w:t xml:space="preserve"> inscritos no Cadastro único para Programas Sociais (CadÚnico) do Ministério da Cidadania. </w:t>
      </w:r>
    </w:p>
    <w:p w14:paraId="12C534E0" w14:textId="57557DB7" w:rsidR="007B2AC5" w:rsidRPr="007B2AC5" w:rsidRDefault="007B2AC5" w:rsidP="007B2AC5">
      <w:pPr>
        <w:pStyle w:val="PargrafodaLista"/>
        <w:tabs>
          <w:tab w:val="num" w:pos="360"/>
        </w:tabs>
        <w:ind w:left="426"/>
        <w:jc w:val="both"/>
        <w:rPr>
          <w:rFonts w:cstheme="minorHAnsi"/>
          <w:color w:val="333333"/>
          <w:sz w:val="24"/>
          <w:szCs w:val="24"/>
          <w:shd w:val="clear" w:color="auto" w:fill="FFFFFF"/>
        </w:rPr>
      </w:pPr>
      <w:r w:rsidRPr="007B2AC5">
        <w:rPr>
          <w:rFonts w:cstheme="minorHAnsi"/>
          <w:color w:val="333333"/>
          <w:sz w:val="24"/>
          <w:szCs w:val="24"/>
          <w:shd w:val="clear" w:color="auto" w:fill="FFFFFF"/>
        </w:rPr>
        <w:t xml:space="preserve">A maior parte dos clientes (67%) do Crediamigo são do gênero feminino. </w:t>
      </w:r>
      <w:r w:rsidRPr="00AF1632">
        <w:rPr>
          <w:rFonts w:cstheme="minorHAnsi"/>
          <w:color w:val="333333"/>
          <w:sz w:val="24"/>
          <w:szCs w:val="24"/>
          <w:shd w:val="clear" w:color="auto" w:fill="FFFFFF"/>
        </w:rPr>
        <w:t>O Crediamigo beneficia principalmente clientes com baixa escolaridade. 95,5% tem até ensino médio completo, e 58,1% tem até ensino fundamental completo.</w:t>
      </w:r>
      <w:r>
        <w:rPr>
          <w:rFonts w:cstheme="minorHAnsi"/>
          <w:color w:val="333333"/>
          <w:sz w:val="24"/>
          <w:szCs w:val="24"/>
          <w:shd w:val="clear" w:color="auto" w:fill="FFFFFF"/>
        </w:rPr>
        <w:t xml:space="preserve"> </w:t>
      </w:r>
      <w:r w:rsidRPr="007B2AC5">
        <w:rPr>
          <w:rFonts w:cstheme="minorHAnsi"/>
          <w:color w:val="333333"/>
          <w:sz w:val="24"/>
          <w:szCs w:val="24"/>
          <w:shd w:val="clear" w:color="auto" w:fill="FFFFFF"/>
        </w:rPr>
        <w:t>O BNB também possui produto de microcrédito orientado à agricultura familiar (Agroamigo). O perfil de clientes também é de baixa escolaridade (90% com escolaridade até ensino fundamental).</w:t>
      </w:r>
    </w:p>
    <w:p w14:paraId="3F6669D3" w14:textId="77777777" w:rsidR="004356CE" w:rsidRPr="00EB3C3B" w:rsidRDefault="004356CE" w:rsidP="00BD40A1">
      <w:pPr>
        <w:pStyle w:val="PargrafodaLista"/>
        <w:tabs>
          <w:tab w:val="num" w:pos="360"/>
        </w:tabs>
        <w:ind w:left="426" w:hanging="66"/>
        <w:jc w:val="both"/>
        <w:rPr>
          <w:rStyle w:val="A9"/>
          <w:rFonts w:ascii="Times New Roman" w:hAnsi="Times New Roman" w:cs="Times New Roman"/>
          <w:color w:val="auto"/>
          <w:sz w:val="24"/>
          <w:szCs w:val="24"/>
        </w:rPr>
      </w:pPr>
    </w:p>
    <w:p w14:paraId="0EE7193C" w14:textId="12CB037E" w:rsidR="00AE3597" w:rsidRPr="006B6921" w:rsidRDefault="006B6921" w:rsidP="006B6921">
      <w:pPr>
        <w:ind w:left="709"/>
        <w:jc w:val="both"/>
        <w:rPr>
          <w:rFonts w:cstheme="minorHAnsi"/>
          <w:bCs/>
          <w:sz w:val="24"/>
          <w:szCs w:val="24"/>
          <w:u w:val="single"/>
        </w:rPr>
      </w:pPr>
      <w:r w:rsidRPr="006B6921">
        <w:rPr>
          <w:rFonts w:cstheme="minorHAnsi"/>
          <w:bCs/>
          <w:sz w:val="24"/>
          <w:szCs w:val="24"/>
          <w:u w:val="single"/>
        </w:rPr>
        <w:t xml:space="preserve">- </w:t>
      </w:r>
      <w:r w:rsidR="00AE3597" w:rsidRPr="006B6921">
        <w:rPr>
          <w:rFonts w:cstheme="minorHAnsi"/>
          <w:bCs/>
          <w:sz w:val="24"/>
          <w:szCs w:val="24"/>
          <w:u w:val="single"/>
        </w:rPr>
        <w:t>Ações relativas à pandemia</w:t>
      </w:r>
    </w:p>
    <w:p w14:paraId="54A1B1CD" w14:textId="315AC7D5" w:rsidR="00990B19" w:rsidRPr="00551426" w:rsidRDefault="0088725A" w:rsidP="00551426">
      <w:pPr>
        <w:tabs>
          <w:tab w:val="num" w:pos="360"/>
        </w:tabs>
        <w:ind w:left="426" w:hanging="66"/>
        <w:jc w:val="both"/>
        <w:rPr>
          <w:rFonts w:cstheme="minorHAnsi"/>
          <w:color w:val="333333"/>
          <w:sz w:val="24"/>
          <w:szCs w:val="24"/>
          <w:shd w:val="clear" w:color="auto" w:fill="FFFFFF"/>
        </w:rPr>
      </w:pPr>
      <w:r>
        <w:rPr>
          <w:rFonts w:cstheme="minorHAnsi"/>
          <w:color w:val="333333"/>
          <w:sz w:val="24"/>
          <w:szCs w:val="24"/>
          <w:shd w:val="clear" w:color="auto" w:fill="FFFFFF"/>
        </w:rPr>
        <w:lastRenderedPageBreak/>
        <w:t>Em</w:t>
      </w:r>
      <w:r w:rsidR="004D7EB4" w:rsidRPr="00551426">
        <w:rPr>
          <w:rFonts w:cstheme="minorHAnsi"/>
          <w:color w:val="333333"/>
          <w:sz w:val="24"/>
          <w:szCs w:val="24"/>
          <w:shd w:val="clear" w:color="auto" w:fill="FFFFFF"/>
        </w:rPr>
        <w:t xml:space="preserve"> função da pandemia de Covid-19</w:t>
      </w:r>
      <w:r>
        <w:rPr>
          <w:rFonts w:cstheme="minorHAnsi"/>
          <w:color w:val="333333"/>
          <w:sz w:val="24"/>
          <w:szCs w:val="24"/>
          <w:shd w:val="clear" w:color="auto" w:fill="FFFFFF"/>
        </w:rPr>
        <w:t xml:space="preserve">, houve </w:t>
      </w:r>
      <w:r w:rsidR="00FB4AE8" w:rsidRPr="00551426">
        <w:rPr>
          <w:rFonts w:cstheme="minorHAnsi"/>
          <w:color w:val="333333"/>
          <w:sz w:val="24"/>
          <w:szCs w:val="24"/>
          <w:shd w:val="clear" w:color="auto" w:fill="FFFFFF"/>
        </w:rPr>
        <w:t>oferta de crédito a taxas reduzidas, prorrogação de vencimento de parcelas, concessão de carência para pagamento de primeira parcela, criação de possibilidade de dispensa de percentual de entrada, políticas mais flexíveis de renegociação de empréstimos e financiamentos, dentre outros. Registra-se crescimento dos desembolsos no Crediamigo e no Agroamigo em 2020, comparado ao ano anterior.</w:t>
      </w:r>
    </w:p>
    <w:p w14:paraId="552BFBE1" w14:textId="77777777" w:rsidR="00DE3CCE" w:rsidRPr="00F9322A" w:rsidRDefault="00DE3CCE" w:rsidP="00BD40A1">
      <w:pPr>
        <w:pStyle w:val="Default"/>
        <w:tabs>
          <w:tab w:val="num" w:pos="360"/>
        </w:tabs>
        <w:ind w:left="426" w:hanging="66"/>
        <w:jc w:val="both"/>
        <w:rPr>
          <w:rFonts w:ascii="Times New Roman" w:hAnsi="Times New Roman" w:cs="Times New Roman"/>
          <w:color w:val="auto"/>
        </w:rPr>
      </w:pPr>
    </w:p>
    <w:sectPr w:rsidR="00DE3CCE" w:rsidRPr="00F9322A" w:rsidSect="006B6921">
      <w:pgSz w:w="11906" w:h="16838"/>
      <w:pgMar w:top="1417" w:right="1133"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 Next LT Pro">
    <w:altName w:val="Calibri"/>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F30A0"/>
    <w:multiLevelType w:val="hybridMultilevel"/>
    <w:tmpl w:val="48FEC01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 w15:restartNumberingAfterBreak="0">
    <w:nsid w:val="222D62BC"/>
    <w:multiLevelType w:val="hybridMultilevel"/>
    <w:tmpl w:val="1A5487E0"/>
    <w:lvl w:ilvl="0" w:tplc="A7423C76">
      <w:start w:val="1"/>
      <w:numFmt w:val="decimal"/>
      <w:lvlText w:val="%1)"/>
      <w:lvlJc w:val="left"/>
      <w:pPr>
        <w:tabs>
          <w:tab w:val="num" w:pos="720"/>
        </w:tabs>
        <w:ind w:left="720" w:hanging="360"/>
      </w:pPr>
    </w:lvl>
    <w:lvl w:ilvl="1" w:tplc="EF3A1C34">
      <w:numFmt w:val="bullet"/>
      <w:lvlText w:val=""/>
      <w:lvlJc w:val="left"/>
      <w:pPr>
        <w:tabs>
          <w:tab w:val="num" w:pos="1440"/>
        </w:tabs>
        <w:ind w:left="1440" w:hanging="360"/>
      </w:pPr>
      <w:rPr>
        <w:rFonts w:ascii="Wingdings" w:hAnsi="Wingdings" w:hint="default"/>
      </w:rPr>
    </w:lvl>
    <w:lvl w:ilvl="2" w:tplc="592C4F96">
      <w:start w:val="1"/>
      <w:numFmt w:val="decimal"/>
      <w:lvlText w:val="%3)"/>
      <w:lvlJc w:val="left"/>
      <w:pPr>
        <w:tabs>
          <w:tab w:val="num" w:pos="2160"/>
        </w:tabs>
        <w:ind w:left="2160" w:hanging="360"/>
      </w:pPr>
    </w:lvl>
    <w:lvl w:ilvl="3" w:tplc="7F14866A" w:tentative="1">
      <w:start w:val="1"/>
      <w:numFmt w:val="decimal"/>
      <w:lvlText w:val="%4)"/>
      <w:lvlJc w:val="left"/>
      <w:pPr>
        <w:tabs>
          <w:tab w:val="num" w:pos="2880"/>
        </w:tabs>
        <w:ind w:left="2880" w:hanging="360"/>
      </w:pPr>
    </w:lvl>
    <w:lvl w:ilvl="4" w:tplc="EEEA21F8" w:tentative="1">
      <w:start w:val="1"/>
      <w:numFmt w:val="decimal"/>
      <w:lvlText w:val="%5)"/>
      <w:lvlJc w:val="left"/>
      <w:pPr>
        <w:tabs>
          <w:tab w:val="num" w:pos="3600"/>
        </w:tabs>
        <w:ind w:left="3600" w:hanging="360"/>
      </w:pPr>
    </w:lvl>
    <w:lvl w:ilvl="5" w:tplc="91AC063E" w:tentative="1">
      <w:start w:val="1"/>
      <w:numFmt w:val="decimal"/>
      <w:lvlText w:val="%6)"/>
      <w:lvlJc w:val="left"/>
      <w:pPr>
        <w:tabs>
          <w:tab w:val="num" w:pos="4320"/>
        </w:tabs>
        <w:ind w:left="4320" w:hanging="360"/>
      </w:pPr>
    </w:lvl>
    <w:lvl w:ilvl="6" w:tplc="D65AE6E8" w:tentative="1">
      <w:start w:val="1"/>
      <w:numFmt w:val="decimal"/>
      <w:lvlText w:val="%7)"/>
      <w:lvlJc w:val="left"/>
      <w:pPr>
        <w:tabs>
          <w:tab w:val="num" w:pos="5040"/>
        </w:tabs>
        <w:ind w:left="5040" w:hanging="360"/>
      </w:pPr>
    </w:lvl>
    <w:lvl w:ilvl="7" w:tplc="FCF607AC" w:tentative="1">
      <w:start w:val="1"/>
      <w:numFmt w:val="decimal"/>
      <w:lvlText w:val="%8)"/>
      <w:lvlJc w:val="left"/>
      <w:pPr>
        <w:tabs>
          <w:tab w:val="num" w:pos="5760"/>
        </w:tabs>
        <w:ind w:left="5760" w:hanging="360"/>
      </w:pPr>
    </w:lvl>
    <w:lvl w:ilvl="8" w:tplc="AB660FD8" w:tentative="1">
      <w:start w:val="1"/>
      <w:numFmt w:val="decimal"/>
      <w:lvlText w:val="%9)"/>
      <w:lvlJc w:val="left"/>
      <w:pPr>
        <w:tabs>
          <w:tab w:val="num" w:pos="6480"/>
        </w:tabs>
        <w:ind w:left="6480" w:hanging="360"/>
      </w:pPr>
    </w:lvl>
  </w:abstractNum>
  <w:abstractNum w:abstractNumId="2" w15:restartNumberingAfterBreak="0">
    <w:nsid w:val="23081736"/>
    <w:multiLevelType w:val="multilevel"/>
    <w:tmpl w:val="4F1EC7A6"/>
    <w:lvl w:ilvl="0">
      <w:start w:val="3"/>
      <w:numFmt w:val="decimal"/>
      <w:lvlText w:val="%1"/>
      <w:lvlJc w:val="left"/>
      <w:pPr>
        <w:ind w:left="360" w:hanging="360"/>
      </w:pPr>
      <w:rPr>
        <w:rFonts w:hint="default"/>
        <w:color w:val="538135" w:themeColor="accent6" w:themeShade="BF"/>
      </w:rPr>
    </w:lvl>
    <w:lvl w:ilvl="1">
      <w:start w:val="1"/>
      <w:numFmt w:val="decimal"/>
      <w:lvlText w:val="%1.%2"/>
      <w:lvlJc w:val="left"/>
      <w:pPr>
        <w:ind w:left="1080" w:hanging="360"/>
      </w:pPr>
      <w:rPr>
        <w:rFonts w:hint="default"/>
        <w:color w:val="538135" w:themeColor="accent6" w:themeShade="BF"/>
      </w:rPr>
    </w:lvl>
    <w:lvl w:ilvl="2">
      <w:start w:val="1"/>
      <w:numFmt w:val="decimal"/>
      <w:lvlText w:val="%1.%2.%3"/>
      <w:lvlJc w:val="left"/>
      <w:pPr>
        <w:ind w:left="2160" w:hanging="720"/>
      </w:pPr>
      <w:rPr>
        <w:rFonts w:hint="default"/>
        <w:color w:val="538135" w:themeColor="accent6" w:themeShade="BF"/>
      </w:rPr>
    </w:lvl>
    <w:lvl w:ilvl="3">
      <w:start w:val="1"/>
      <w:numFmt w:val="decimal"/>
      <w:lvlText w:val="%1.%2.%3.%4"/>
      <w:lvlJc w:val="left"/>
      <w:pPr>
        <w:ind w:left="2880" w:hanging="720"/>
      </w:pPr>
      <w:rPr>
        <w:rFonts w:hint="default"/>
        <w:color w:val="538135" w:themeColor="accent6" w:themeShade="BF"/>
      </w:rPr>
    </w:lvl>
    <w:lvl w:ilvl="4">
      <w:start w:val="1"/>
      <w:numFmt w:val="decimal"/>
      <w:lvlText w:val="%1.%2.%3.%4.%5"/>
      <w:lvlJc w:val="left"/>
      <w:pPr>
        <w:ind w:left="3960" w:hanging="1080"/>
      </w:pPr>
      <w:rPr>
        <w:rFonts w:hint="default"/>
        <w:color w:val="538135" w:themeColor="accent6" w:themeShade="BF"/>
      </w:rPr>
    </w:lvl>
    <w:lvl w:ilvl="5">
      <w:start w:val="1"/>
      <w:numFmt w:val="decimal"/>
      <w:lvlText w:val="%1.%2.%3.%4.%5.%6"/>
      <w:lvlJc w:val="left"/>
      <w:pPr>
        <w:ind w:left="4680" w:hanging="1080"/>
      </w:pPr>
      <w:rPr>
        <w:rFonts w:hint="default"/>
        <w:color w:val="538135" w:themeColor="accent6" w:themeShade="BF"/>
      </w:rPr>
    </w:lvl>
    <w:lvl w:ilvl="6">
      <w:start w:val="1"/>
      <w:numFmt w:val="decimal"/>
      <w:lvlText w:val="%1.%2.%3.%4.%5.%6.%7"/>
      <w:lvlJc w:val="left"/>
      <w:pPr>
        <w:ind w:left="5760" w:hanging="1440"/>
      </w:pPr>
      <w:rPr>
        <w:rFonts w:hint="default"/>
        <w:color w:val="538135" w:themeColor="accent6" w:themeShade="BF"/>
      </w:rPr>
    </w:lvl>
    <w:lvl w:ilvl="7">
      <w:start w:val="1"/>
      <w:numFmt w:val="decimal"/>
      <w:lvlText w:val="%1.%2.%3.%4.%5.%6.%7.%8"/>
      <w:lvlJc w:val="left"/>
      <w:pPr>
        <w:ind w:left="6480" w:hanging="1440"/>
      </w:pPr>
      <w:rPr>
        <w:rFonts w:hint="default"/>
        <w:color w:val="538135" w:themeColor="accent6" w:themeShade="BF"/>
      </w:rPr>
    </w:lvl>
    <w:lvl w:ilvl="8">
      <w:start w:val="1"/>
      <w:numFmt w:val="decimal"/>
      <w:lvlText w:val="%1.%2.%3.%4.%5.%6.%7.%8.%9"/>
      <w:lvlJc w:val="left"/>
      <w:pPr>
        <w:ind w:left="7200" w:hanging="1440"/>
      </w:pPr>
      <w:rPr>
        <w:rFonts w:hint="default"/>
        <w:color w:val="538135" w:themeColor="accent6" w:themeShade="BF"/>
      </w:rPr>
    </w:lvl>
  </w:abstractNum>
  <w:abstractNum w:abstractNumId="3" w15:restartNumberingAfterBreak="0">
    <w:nsid w:val="36093F62"/>
    <w:multiLevelType w:val="hybridMultilevel"/>
    <w:tmpl w:val="52645570"/>
    <w:lvl w:ilvl="0" w:tplc="04160001">
      <w:start w:val="1"/>
      <w:numFmt w:val="bullet"/>
      <w:lvlText w:val=""/>
      <w:lvlJc w:val="left"/>
      <w:pPr>
        <w:ind w:left="1434" w:hanging="360"/>
      </w:pPr>
      <w:rPr>
        <w:rFonts w:ascii="Symbol" w:hAnsi="Symbol" w:hint="default"/>
      </w:rPr>
    </w:lvl>
    <w:lvl w:ilvl="1" w:tplc="04160003" w:tentative="1">
      <w:start w:val="1"/>
      <w:numFmt w:val="bullet"/>
      <w:lvlText w:val="o"/>
      <w:lvlJc w:val="left"/>
      <w:pPr>
        <w:ind w:left="2154" w:hanging="360"/>
      </w:pPr>
      <w:rPr>
        <w:rFonts w:ascii="Courier New" w:hAnsi="Courier New" w:cs="Courier New" w:hint="default"/>
      </w:rPr>
    </w:lvl>
    <w:lvl w:ilvl="2" w:tplc="04160005" w:tentative="1">
      <w:start w:val="1"/>
      <w:numFmt w:val="bullet"/>
      <w:lvlText w:val=""/>
      <w:lvlJc w:val="left"/>
      <w:pPr>
        <w:ind w:left="2874" w:hanging="360"/>
      </w:pPr>
      <w:rPr>
        <w:rFonts w:ascii="Wingdings" w:hAnsi="Wingdings" w:hint="default"/>
      </w:rPr>
    </w:lvl>
    <w:lvl w:ilvl="3" w:tplc="04160001" w:tentative="1">
      <w:start w:val="1"/>
      <w:numFmt w:val="bullet"/>
      <w:lvlText w:val=""/>
      <w:lvlJc w:val="left"/>
      <w:pPr>
        <w:ind w:left="3594" w:hanging="360"/>
      </w:pPr>
      <w:rPr>
        <w:rFonts w:ascii="Symbol" w:hAnsi="Symbol" w:hint="default"/>
      </w:rPr>
    </w:lvl>
    <w:lvl w:ilvl="4" w:tplc="04160003" w:tentative="1">
      <w:start w:val="1"/>
      <w:numFmt w:val="bullet"/>
      <w:lvlText w:val="o"/>
      <w:lvlJc w:val="left"/>
      <w:pPr>
        <w:ind w:left="4314" w:hanging="360"/>
      </w:pPr>
      <w:rPr>
        <w:rFonts w:ascii="Courier New" w:hAnsi="Courier New" w:cs="Courier New" w:hint="default"/>
      </w:rPr>
    </w:lvl>
    <w:lvl w:ilvl="5" w:tplc="04160005" w:tentative="1">
      <w:start w:val="1"/>
      <w:numFmt w:val="bullet"/>
      <w:lvlText w:val=""/>
      <w:lvlJc w:val="left"/>
      <w:pPr>
        <w:ind w:left="5034" w:hanging="360"/>
      </w:pPr>
      <w:rPr>
        <w:rFonts w:ascii="Wingdings" w:hAnsi="Wingdings" w:hint="default"/>
      </w:rPr>
    </w:lvl>
    <w:lvl w:ilvl="6" w:tplc="04160001" w:tentative="1">
      <w:start w:val="1"/>
      <w:numFmt w:val="bullet"/>
      <w:lvlText w:val=""/>
      <w:lvlJc w:val="left"/>
      <w:pPr>
        <w:ind w:left="5754" w:hanging="360"/>
      </w:pPr>
      <w:rPr>
        <w:rFonts w:ascii="Symbol" w:hAnsi="Symbol" w:hint="default"/>
      </w:rPr>
    </w:lvl>
    <w:lvl w:ilvl="7" w:tplc="04160003" w:tentative="1">
      <w:start w:val="1"/>
      <w:numFmt w:val="bullet"/>
      <w:lvlText w:val="o"/>
      <w:lvlJc w:val="left"/>
      <w:pPr>
        <w:ind w:left="6474" w:hanging="360"/>
      </w:pPr>
      <w:rPr>
        <w:rFonts w:ascii="Courier New" w:hAnsi="Courier New" w:cs="Courier New" w:hint="default"/>
      </w:rPr>
    </w:lvl>
    <w:lvl w:ilvl="8" w:tplc="04160005" w:tentative="1">
      <w:start w:val="1"/>
      <w:numFmt w:val="bullet"/>
      <w:lvlText w:val=""/>
      <w:lvlJc w:val="left"/>
      <w:pPr>
        <w:ind w:left="7194" w:hanging="360"/>
      </w:pPr>
      <w:rPr>
        <w:rFonts w:ascii="Wingdings" w:hAnsi="Wingdings" w:hint="default"/>
      </w:rPr>
    </w:lvl>
  </w:abstractNum>
  <w:abstractNum w:abstractNumId="4" w15:restartNumberingAfterBreak="0">
    <w:nsid w:val="3EA57973"/>
    <w:multiLevelType w:val="hybridMultilevel"/>
    <w:tmpl w:val="EAA437E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2CE7C01"/>
    <w:multiLevelType w:val="hybridMultilevel"/>
    <w:tmpl w:val="D970437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6" w15:restartNumberingAfterBreak="0">
    <w:nsid w:val="56053690"/>
    <w:multiLevelType w:val="hybridMultilevel"/>
    <w:tmpl w:val="B99E93A4"/>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 w15:restartNumberingAfterBreak="0">
    <w:nsid w:val="57B75018"/>
    <w:multiLevelType w:val="hybridMultilevel"/>
    <w:tmpl w:val="FE6E78C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8" w15:restartNumberingAfterBreak="0">
    <w:nsid w:val="5C1848E1"/>
    <w:multiLevelType w:val="multilevel"/>
    <w:tmpl w:val="4086D1E8"/>
    <w:lvl w:ilvl="0">
      <w:start w:val="3"/>
      <w:numFmt w:val="decimal"/>
      <w:lvlText w:val="%1"/>
      <w:lvlJc w:val="left"/>
      <w:pPr>
        <w:ind w:left="360" w:hanging="360"/>
      </w:pPr>
      <w:rPr>
        <w:rFonts w:hint="default"/>
        <w:color w:val="538135" w:themeColor="accent6" w:themeShade="BF"/>
      </w:rPr>
    </w:lvl>
    <w:lvl w:ilvl="1">
      <w:start w:val="1"/>
      <w:numFmt w:val="decimal"/>
      <w:lvlText w:val="%1.%2"/>
      <w:lvlJc w:val="left"/>
      <w:pPr>
        <w:ind w:left="1800" w:hanging="360"/>
      </w:pPr>
      <w:rPr>
        <w:rFonts w:hint="default"/>
        <w:color w:val="538135" w:themeColor="accent6" w:themeShade="BF"/>
      </w:rPr>
    </w:lvl>
    <w:lvl w:ilvl="2">
      <w:start w:val="1"/>
      <w:numFmt w:val="decimal"/>
      <w:lvlText w:val="%1.%2.%3"/>
      <w:lvlJc w:val="left"/>
      <w:pPr>
        <w:ind w:left="3600" w:hanging="720"/>
      </w:pPr>
      <w:rPr>
        <w:rFonts w:hint="default"/>
        <w:color w:val="538135" w:themeColor="accent6" w:themeShade="BF"/>
      </w:rPr>
    </w:lvl>
    <w:lvl w:ilvl="3">
      <w:start w:val="1"/>
      <w:numFmt w:val="decimal"/>
      <w:lvlText w:val="%1.%2.%3.%4"/>
      <w:lvlJc w:val="left"/>
      <w:pPr>
        <w:ind w:left="5040" w:hanging="720"/>
      </w:pPr>
      <w:rPr>
        <w:rFonts w:hint="default"/>
        <w:color w:val="538135" w:themeColor="accent6" w:themeShade="BF"/>
      </w:rPr>
    </w:lvl>
    <w:lvl w:ilvl="4">
      <w:start w:val="1"/>
      <w:numFmt w:val="decimal"/>
      <w:lvlText w:val="%1.%2.%3.%4.%5"/>
      <w:lvlJc w:val="left"/>
      <w:pPr>
        <w:ind w:left="6840" w:hanging="1080"/>
      </w:pPr>
      <w:rPr>
        <w:rFonts w:hint="default"/>
        <w:color w:val="538135" w:themeColor="accent6" w:themeShade="BF"/>
      </w:rPr>
    </w:lvl>
    <w:lvl w:ilvl="5">
      <w:start w:val="1"/>
      <w:numFmt w:val="decimal"/>
      <w:lvlText w:val="%1.%2.%3.%4.%5.%6"/>
      <w:lvlJc w:val="left"/>
      <w:pPr>
        <w:ind w:left="8280" w:hanging="1080"/>
      </w:pPr>
      <w:rPr>
        <w:rFonts w:hint="default"/>
        <w:color w:val="538135" w:themeColor="accent6" w:themeShade="BF"/>
      </w:rPr>
    </w:lvl>
    <w:lvl w:ilvl="6">
      <w:start w:val="1"/>
      <w:numFmt w:val="decimal"/>
      <w:lvlText w:val="%1.%2.%3.%4.%5.%6.%7"/>
      <w:lvlJc w:val="left"/>
      <w:pPr>
        <w:ind w:left="10080" w:hanging="1440"/>
      </w:pPr>
      <w:rPr>
        <w:rFonts w:hint="default"/>
        <w:color w:val="538135" w:themeColor="accent6" w:themeShade="BF"/>
      </w:rPr>
    </w:lvl>
    <w:lvl w:ilvl="7">
      <w:start w:val="1"/>
      <w:numFmt w:val="decimal"/>
      <w:lvlText w:val="%1.%2.%3.%4.%5.%6.%7.%8"/>
      <w:lvlJc w:val="left"/>
      <w:pPr>
        <w:ind w:left="11520" w:hanging="1440"/>
      </w:pPr>
      <w:rPr>
        <w:rFonts w:hint="default"/>
        <w:color w:val="538135" w:themeColor="accent6" w:themeShade="BF"/>
      </w:rPr>
    </w:lvl>
    <w:lvl w:ilvl="8">
      <w:start w:val="1"/>
      <w:numFmt w:val="decimal"/>
      <w:lvlText w:val="%1.%2.%3.%4.%5.%6.%7.%8.%9"/>
      <w:lvlJc w:val="left"/>
      <w:pPr>
        <w:ind w:left="12960" w:hanging="1440"/>
      </w:pPr>
      <w:rPr>
        <w:rFonts w:hint="default"/>
        <w:color w:val="538135" w:themeColor="accent6" w:themeShade="BF"/>
      </w:rPr>
    </w:lvl>
  </w:abstractNum>
  <w:abstractNum w:abstractNumId="9" w15:restartNumberingAfterBreak="0">
    <w:nsid w:val="5EFA6FC7"/>
    <w:multiLevelType w:val="hybridMultilevel"/>
    <w:tmpl w:val="5E30C2A2"/>
    <w:lvl w:ilvl="0" w:tplc="0416000D">
      <w:start w:val="1"/>
      <w:numFmt w:val="bullet"/>
      <w:lvlText w:val=""/>
      <w:lvlJc w:val="left"/>
      <w:pPr>
        <w:ind w:left="1070" w:hanging="360"/>
      </w:pPr>
      <w:rPr>
        <w:rFonts w:ascii="Wingdings" w:hAnsi="Wingdings" w:hint="default"/>
      </w:rPr>
    </w:lvl>
    <w:lvl w:ilvl="1" w:tplc="04160003" w:tentative="1">
      <w:start w:val="1"/>
      <w:numFmt w:val="bullet"/>
      <w:lvlText w:val="o"/>
      <w:lvlJc w:val="left"/>
      <w:pPr>
        <w:ind w:left="1790" w:hanging="360"/>
      </w:pPr>
      <w:rPr>
        <w:rFonts w:ascii="Courier New" w:hAnsi="Courier New" w:cs="Courier New" w:hint="default"/>
      </w:rPr>
    </w:lvl>
    <w:lvl w:ilvl="2" w:tplc="04160005" w:tentative="1">
      <w:start w:val="1"/>
      <w:numFmt w:val="bullet"/>
      <w:lvlText w:val=""/>
      <w:lvlJc w:val="left"/>
      <w:pPr>
        <w:ind w:left="2510" w:hanging="360"/>
      </w:pPr>
      <w:rPr>
        <w:rFonts w:ascii="Wingdings" w:hAnsi="Wingdings" w:hint="default"/>
      </w:rPr>
    </w:lvl>
    <w:lvl w:ilvl="3" w:tplc="04160001" w:tentative="1">
      <w:start w:val="1"/>
      <w:numFmt w:val="bullet"/>
      <w:lvlText w:val=""/>
      <w:lvlJc w:val="left"/>
      <w:pPr>
        <w:ind w:left="3230" w:hanging="360"/>
      </w:pPr>
      <w:rPr>
        <w:rFonts w:ascii="Symbol" w:hAnsi="Symbol" w:hint="default"/>
      </w:rPr>
    </w:lvl>
    <w:lvl w:ilvl="4" w:tplc="04160003" w:tentative="1">
      <w:start w:val="1"/>
      <w:numFmt w:val="bullet"/>
      <w:lvlText w:val="o"/>
      <w:lvlJc w:val="left"/>
      <w:pPr>
        <w:ind w:left="3950" w:hanging="360"/>
      </w:pPr>
      <w:rPr>
        <w:rFonts w:ascii="Courier New" w:hAnsi="Courier New" w:cs="Courier New" w:hint="default"/>
      </w:rPr>
    </w:lvl>
    <w:lvl w:ilvl="5" w:tplc="04160005" w:tentative="1">
      <w:start w:val="1"/>
      <w:numFmt w:val="bullet"/>
      <w:lvlText w:val=""/>
      <w:lvlJc w:val="left"/>
      <w:pPr>
        <w:ind w:left="4670" w:hanging="360"/>
      </w:pPr>
      <w:rPr>
        <w:rFonts w:ascii="Wingdings" w:hAnsi="Wingdings" w:hint="default"/>
      </w:rPr>
    </w:lvl>
    <w:lvl w:ilvl="6" w:tplc="04160001" w:tentative="1">
      <w:start w:val="1"/>
      <w:numFmt w:val="bullet"/>
      <w:lvlText w:val=""/>
      <w:lvlJc w:val="left"/>
      <w:pPr>
        <w:ind w:left="5390" w:hanging="360"/>
      </w:pPr>
      <w:rPr>
        <w:rFonts w:ascii="Symbol" w:hAnsi="Symbol" w:hint="default"/>
      </w:rPr>
    </w:lvl>
    <w:lvl w:ilvl="7" w:tplc="04160003" w:tentative="1">
      <w:start w:val="1"/>
      <w:numFmt w:val="bullet"/>
      <w:lvlText w:val="o"/>
      <w:lvlJc w:val="left"/>
      <w:pPr>
        <w:ind w:left="6110" w:hanging="360"/>
      </w:pPr>
      <w:rPr>
        <w:rFonts w:ascii="Courier New" w:hAnsi="Courier New" w:cs="Courier New" w:hint="default"/>
      </w:rPr>
    </w:lvl>
    <w:lvl w:ilvl="8" w:tplc="04160005" w:tentative="1">
      <w:start w:val="1"/>
      <w:numFmt w:val="bullet"/>
      <w:lvlText w:val=""/>
      <w:lvlJc w:val="left"/>
      <w:pPr>
        <w:ind w:left="6830" w:hanging="360"/>
      </w:pPr>
      <w:rPr>
        <w:rFonts w:ascii="Wingdings" w:hAnsi="Wingdings" w:hint="default"/>
      </w:rPr>
    </w:lvl>
  </w:abstractNum>
  <w:abstractNum w:abstractNumId="10" w15:restartNumberingAfterBreak="0">
    <w:nsid w:val="662C04AA"/>
    <w:multiLevelType w:val="hybridMultilevel"/>
    <w:tmpl w:val="16227C5E"/>
    <w:lvl w:ilvl="0" w:tplc="A7423C76">
      <w:start w:val="1"/>
      <w:numFmt w:val="decimal"/>
      <w:lvlText w:val="%1)"/>
      <w:lvlJc w:val="left"/>
      <w:pPr>
        <w:tabs>
          <w:tab w:val="num" w:pos="720"/>
        </w:tabs>
        <w:ind w:left="720" w:hanging="360"/>
      </w:pPr>
    </w:lvl>
    <w:lvl w:ilvl="1" w:tplc="EF3A1C34">
      <w:numFmt w:val="bullet"/>
      <w:lvlText w:val=""/>
      <w:lvlJc w:val="left"/>
      <w:pPr>
        <w:tabs>
          <w:tab w:val="num" w:pos="1440"/>
        </w:tabs>
        <w:ind w:left="1440" w:hanging="360"/>
      </w:pPr>
      <w:rPr>
        <w:rFonts w:ascii="Wingdings" w:hAnsi="Wingdings" w:hint="default"/>
      </w:rPr>
    </w:lvl>
    <w:lvl w:ilvl="2" w:tplc="592C4F96">
      <w:start w:val="1"/>
      <w:numFmt w:val="decimal"/>
      <w:lvlText w:val="%3)"/>
      <w:lvlJc w:val="left"/>
      <w:pPr>
        <w:tabs>
          <w:tab w:val="num" w:pos="2160"/>
        </w:tabs>
        <w:ind w:left="2160" w:hanging="360"/>
      </w:pPr>
    </w:lvl>
    <w:lvl w:ilvl="3" w:tplc="7F14866A" w:tentative="1">
      <w:start w:val="1"/>
      <w:numFmt w:val="decimal"/>
      <w:lvlText w:val="%4)"/>
      <w:lvlJc w:val="left"/>
      <w:pPr>
        <w:tabs>
          <w:tab w:val="num" w:pos="2880"/>
        </w:tabs>
        <w:ind w:left="2880" w:hanging="360"/>
      </w:pPr>
    </w:lvl>
    <w:lvl w:ilvl="4" w:tplc="EEEA21F8" w:tentative="1">
      <w:start w:val="1"/>
      <w:numFmt w:val="decimal"/>
      <w:lvlText w:val="%5)"/>
      <w:lvlJc w:val="left"/>
      <w:pPr>
        <w:tabs>
          <w:tab w:val="num" w:pos="3600"/>
        </w:tabs>
        <w:ind w:left="3600" w:hanging="360"/>
      </w:pPr>
    </w:lvl>
    <w:lvl w:ilvl="5" w:tplc="91AC063E" w:tentative="1">
      <w:start w:val="1"/>
      <w:numFmt w:val="decimal"/>
      <w:lvlText w:val="%6)"/>
      <w:lvlJc w:val="left"/>
      <w:pPr>
        <w:tabs>
          <w:tab w:val="num" w:pos="4320"/>
        </w:tabs>
        <w:ind w:left="4320" w:hanging="360"/>
      </w:pPr>
    </w:lvl>
    <w:lvl w:ilvl="6" w:tplc="D65AE6E8" w:tentative="1">
      <w:start w:val="1"/>
      <w:numFmt w:val="decimal"/>
      <w:lvlText w:val="%7)"/>
      <w:lvlJc w:val="left"/>
      <w:pPr>
        <w:tabs>
          <w:tab w:val="num" w:pos="5040"/>
        </w:tabs>
        <w:ind w:left="5040" w:hanging="360"/>
      </w:pPr>
    </w:lvl>
    <w:lvl w:ilvl="7" w:tplc="FCF607AC" w:tentative="1">
      <w:start w:val="1"/>
      <w:numFmt w:val="decimal"/>
      <w:lvlText w:val="%8)"/>
      <w:lvlJc w:val="left"/>
      <w:pPr>
        <w:tabs>
          <w:tab w:val="num" w:pos="5760"/>
        </w:tabs>
        <w:ind w:left="5760" w:hanging="360"/>
      </w:pPr>
    </w:lvl>
    <w:lvl w:ilvl="8" w:tplc="AB660FD8" w:tentative="1">
      <w:start w:val="1"/>
      <w:numFmt w:val="decimal"/>
      <w:lvlText w:val="%9)"/>
      <w:lvlJc w:val="left"/>
      <w:pPr>
        <w:tabs>
          <w:tab w:val="num" w:pos="6480"/>
        </w:tabs>
        <w:ind w:left="6480" w:hanging="360"/>
      </w:pPr>
    </w:lvl>
  </w:abstractNum>
  <w:abstractNum w:abstractNumId="11" w15:restartNumberingAfterBreak="0">
    <w:nsid w:val="679459DA"/>
    <w:multiLevelType w:val="hybridMultilevel"/>
    <w:tmpl w:val="854ADD2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 w15:restartNumberingAfterBreak="0">
    <w:nsid w:val="6F3875ED"/>
    <w:multiLevelType w:val="hybridMultilevel"/>
    <w:tmpl w:val="B99E93A4"/>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3" w15:restartNumberingAfterBreak="0">
    <w:nsid w:val="7E3A3D0D"/>
    <w:multiLevelType w:val="hybridMultilevel"/>
    <w:tmpl w:val="DAE069E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1"/>
  </w:num>
  <w:num w:numId="2">
    <w:abstractNumId w:val="8"/>
  </w:num>
  <w:num w:numId="3">
    <w:abstractNumId w:val="2"/>
  </w:num>
  <w:num w:numId="4">
    <w:abstractNumId w:val="10"/>
  </w:num>
  <w:num w:numId="5">
    <w:abstractNumId w:val="12"/>
  </w:num>
  <w:num w:numId="6">
    <w:abstractNumId w:val="6"/>
  </w:num>
  <w:num w:numId="7">
    <w:abstractNumId w:val="3"/>
  </w:num>
  <w:num w:numId="8">
    <w:abstractNumId w:val="4"/>
  </w:num>
  <w:num w:numId="9">
    <w:abstractNumId w:val="5"/>
  </w:num>
  <w:num w:numId="10">
    <w:abstractNumId w:val="11"/>
  </w:num>
  <w:num w:numId="11">
    <w:abstractNumId w:val="0"/>
  </w:num>
  <w:num w:numId="12">
    <w:abstractNumId w:val="7"/>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pt-BR" w:vendorID="64" w:dllVersion="0" w:nlCheck="1" w:checkStyle="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DBB"/>
    <w:rsid w:val="00042091"/>
    <w:rsid w:val="000525EA"/>
    <w:rsid w:val="000A1DB7"/>
    <w:rsid w:val="00125B2C"/>
    <w:rsid w:val="001D430D"/>
    <w:rsid w:val="001F141D"/>
    <w:rsid w:val="0020466A"/>
    <w:rsid w:val="00236E32"/>
    <w:rsid w:val="00294FC5"/>
    <w:rsid w:val="002A050A"/>
    <w:rsid w:val="00306146"/>
    <w:rsid w:val="00307A3E"/>
    <w:rsid w:val="00335399"/>
    <w:rsid w:val="003478D3"/>
    <w:rsid w:val="00371A3D"/>
    <w:rsid w:val="003A23CC"/>
    <w:rsid w:val="003B0455"/>
    <w:rsid w:val="003C0DBB"/>
    <w:rsid w:val="003D5015"/>
    <w:rsid w:val="003D5C52"/>
    <w:rsid w:val="004025B2"/>
    <w:rsid w:val="00422C5C"/>
    <w:rsid w:val="004356CE"/>
    <w:rsid w:val="00465774"/>
    <w:rsid w:val="004A66CB"/>
    <w:rsid w:val="004D7EB4"/>
    <w:rsid w:val="004E6E0A"/>
    <w:rsid w:val="00536CDF"/>
    <w:rsid w:val="005378F9"/>
    <w:rsid w:val="0055136D"/>
    <w:rsid w:val="00551426"/>
    <w:rsid w:val="0059521F"/>
    <w:rsid w:val="005A6F88"/>
    <w:rsid w:val="005C4DD1"/>
    <w:rsid w:val="00616DEF"/>
    <w:rsid w:val="00672851"/>
    <w:rsid w:val="006741D7"/>
    <w:rsid w:val="006B6921"/>
    <w:rsid w:val="006F3C44"/>
    <w:rsid w:val="0079318A"/>
    <w:rsid w:val="007A093B"/>
    <w:rsid w:val="007B0D77"/>
    <w:rsid w:val="007B2AC5"/>
    <w:rsid w:val="0088725A"/>
    <w:rsid w:val="0089395F"/>
    <w:rsid w:val="008D0B42"/>
    <w:rsid w:val="008D3D64"/>
    <w:rsid w:val="008F0ABE"/>
    <w:rsid w:val="00927BDC"/>
    <w:rsid w:val="0094375F"/>
    <w:rsid w:val="00990B19"/>
    <w:rsid w:val="009E776B"/>
    <w:rsid w:val="009F6B82"/>
    <w:rsid w:val="00A1682A"/>
    <w:rsid w:val="00A50512"/>
    <w:rsid w:val="00A51877"/>
    <w:rsid w:val="00AB0375"/>
    <w:rsid w:val="00AD65FB"/>
    <w:rsid w:val="00AE3597"/>
    <w:rsid w:val="00AF1632"/>
    <w:rsid w:val="00B27B39"/>
    <w:rsid w:val="00B7335B"/>
    <w:rsid w:val="00B803DF"/>
    <w:rsid w:val="00B95116"/>
    <w:rsid w:val="00BB5DA2"/>
    <w:rsid w:val="00BD40A1"/>
    <w:rsid w:val="00C16BD7"/>
    <w:rsid w:val="00CA2029"/>
    <w:rsid w:val="00CE077D"/>
    <w:rsid w:val="00CE44C4"/>
    <w:rsid w:val="00CE7449"/>
    <w:rsid w:val="00CF2441"/>
    <w:rsid w:val="00D242EA"/>
    <w:rsid w:val="00D43EA8"/>
    <w:rsid w:val="00D56741"/>
    <w:rsid w:val="00D61EBE"/>
    <w:rsid w:val="00D73939"/>
    <w:rsid w:val="00DC5245"/>
    <w:rsid w:val="00DD3F67"/>
    <w:rsid w:val="00DE3CCE"/>
    <w:rsid w:val="00E2101C"/>
    <w:rsid w:val="00E21EA3"/>
    <w:rsid w:val="00E46CB6"/>
    <w:rsid w:val="00E56607"/>
    <w:rsid w:val="00EA22A0"/>
    <w:rsid w:val="00EB3C3B"/>
    <w:rsid w:val="00ED7B57"/>
    <w:rsid w:val="00EF680A"/>
    <w:rsid w:val="00F12E60"/>
    <w:rsid w:val="00F47319"/>
    <w:rsid w:val="00F64632"/>
    <w:rsid w:val="00F837D1"/>
    <w:rsid w:val="00F9322A"/>
    <w:rsid w:val="00FB4AE8"/>
    <w:rsid w:val="00FD0D14"/>
    <w:rsid w:val="00FF5E5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D67B1"/>
  <w15:chartTrackingRefBased/>
  <w15:docId w15:val="{932A2FAB-58C4-4D78-A28A-5F0268B07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3D5C52"/>
    <w:rPr>
      <w:color w:val="0563C1" w:themeColor="hyperlink"/>
      <w:u w:val="single"/>
    </w:rPr>
  </w:style>
  <w:style w:type="character" w:customStyle="1" w:styleId="MenoPendente1">
    <w:name w:val="Menção Pendente1"/>
    <w:basedOn w:val="Fontepargpadro"/>
    <w:uiPriority w:val="99"/>
    <w:semiHidden/>
    <w:unhideWhenUsed/>
    <w:rsid w:val="003D5C52"/>
    <w:rPr>
      <w:color w:val="605E5C"/>
      <w:shd w:val="clear" w:color="auto" w:fill="E1DFDD"/>
    </w:rPr>
  </w:style>
  <w:style w:type="paragraph" w:styleId="PargrafodaLista">
    <w:name w:val="List Paragraph"/>
    <w:basedOn w:val="Normal"/>
    <w:uiPriority w:val="34"/>
    <w:qFormat/>
    <w:rsid w:val="00E21EA3"/>
    <w:pPr>
      <w:ind w:left="720"/>
      <w:contextualSpacing/>
    </w:pPr>
  </w:style>
  <w:style w:type="character" w:styleId="Refdecomentrio">
    <w:name w:val="annotation reference"/>
    <w:basedOn w:val="Fontepargpadro"/>
    <w:uiPriority w:val="99"/>
    <w:semiHidden/>
    <w:unhideWhenUsed/>
    <w:rsid w:val="00E21EA3"/>
    <w:rPr>
      <w:sz w:val="16"/>
      <w:szCs w:val="16"/>
    </w:rPr>
  </w:style>
  <w:style w:type="paragraph" w:styleId="Textodecomentrio">
    <w:name w:val="annotation text"/>
    <w:basedOn w:val="Normal"/>
    <w:link w:val="TextodecomentrioChar"/>
    <w:uiPriority w:val="99"/>
    <w:semiHidden/>
    <w:unhideWhenUsed/>
    <w:rsid w:val="00E21EA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E21EA3"/>
    <w:rPr>
      <w:sz w:val="20"/>
      <w:szCs w:val="20"/>
    </w:rPr>
  </w:style>
  <w:style w:type="paragraph" w:styleId="Assuntodocomentrio">
    <w:name w:val="annotation subject"/>
    <w:basedOn w:val="Textodecomentrio"/>
    <w:next w:val="Textodecomentrio"/>
    <w:link w:val="AssuntodocomentrioChar"/>
    <w:uiPriority w:val="99"/>
    <w:semiHidden/>
    <w:unhideWhenUsed/>
    <w:rsid w:val="00E21EA3"/>
    <w:rPr>
      <w:b/>
      <w:bCs/>
    </w:rPr>
  </w:style>
  <w:style w:type="character" w:customStyle="1" w:styleId="AssuntodocomentrioChar">
    <w:name w:val="Assunto do comentário Char"/>
    <w:basedOn w:val="TextodecomentrioChar"/>
    <w:link w:val="Assuntodocomentrio"/>
    <w:uiPriority w:val="99"/>
    <w:semiHidden/>
    <w:rsid w:val="00E21EA3"/>
    <w:rPr>
      <w:b/>
      <w:bCs/>
      <w:sz w:val="20"/>
      <w:szCs w:val="20"/>
    </w:rPr>
  </w:style>
  <w:style w:type="paragraph" w:styleId="Textodebalo">
    <w:name w:val="Balloon Text"/>
    <w:basedOn w:val="Normal"/>
    <w:link w:val="TextodebaloChar"/>
    <w:uiPriority w:val="99"/>
    <w:semiHidden/>
    <w:unhideWhenUsed/>
    <w:rsid w:val="00E21EA3"/>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21EA3"/>
    <w:rPr>
      <w:rFonts w:ascii="Segoe UI" w:hAnsi="Segoe UI" w:cs="Segoe UI"/>
      <w:sz w:val="18"/>
      <w:szCs w:val="18"/>
    </w:rPr>
  </w:style>
  <w:style w:type="character" w:customStyle="1" w:styleId="A9">
    <w:name w:val="A9"/>
    <w:uiPriority w:val="99"/>
    <w:rsid w:val="007B0D77"/>
    <w:rPr>
      <w:rFonts w:cs="DIN Next LT Pro"/>
      <w:color w:val="000000"/>
    </w:rPr>
  </w:style>
  <w:style w:type="paragraph" w:customStyle="1" w:styleId="Pa8">
    <w:name w:val="Pa8"/>
    <w:basedOn w:val="Normal"/>
    <w:next w:val="Normal"/>
    <w:uiPriority w:val="99"/>
    <w:rsid w:val="008D0B42"/>
    <w:pPr>
      <w:autoSpaceDE w:val="0"/>
      <w:autoSpaceDN w:val="0"/>
      <w:adjustRightInd w:val="0"/>
      <w:spacing w:after="0" w:line="201" w:lineRule="atLeast"/>
    </w:pPr>
    <w:rPr>
      <w:rFonts w:ascii="DIN Next LT Pro" w:hAnsi="DIN Next LT Pro"/>
      <w:sz w:val="24"/>
      <w:szCs w:val="24"/>
    </w:rPr>
  </w:style>
  <w:style w:type="paragraph" w:customStyle="1" w:styleId="Pa36">
    <w:name w:val="Pa36"/>
    <w:basedOn w:val="Normal"/>
    <w:next w:val="Normal"/>
    <w:uiPriority w:val="99"/>
    <w:rsid w:val="00CE077D"/>
    <w:pPr>
      <w:autoSpaceDE w:val="0"/>
      <w:autoSpaceDN w:val="0"/>
      <w:adjustRightInd w:val="0"/>
      <w:spacing w:after="0" w:line="201" w:lineRule="atLeast"/>
    </w:pPr>
    <w:rPr>
      <w:rFonts w:ascii="DIN Next LT Pro" w:hAnsi="DIN Next LT Pro"/>
      <w:sz w:val="24"/>
      <w:szCs w:val="24"/>
    </w:rPr>
  </w:style>
  <w:style w:type="paragraph" w:customStyle="1" w:styleId="Default">
    <w:name w:val="Default"/>
    <w:rsid w:val="00AE3597"/>
    <w:pPr>
      <w:autoSpaceDE w:val="0"/>
      <w:autoSpaceDN w:val="0"/>
      <w:adjustRightInd w:val="0"/>
      <w:spacing w:after="0" w:line="240" w:lineRule="auto"/>
    </w:pPr>
    <w:rPr>
      <w:rFonts w:ascii="DIN Next LT Pro" w:hAnsi="DIN Next LT Pro" w:cs="DIN Next LT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64224">
      <w:bodyDiv w:val="1"/>
      <w:marLeft w:val="0"/>
      <w:marRight w:val="0"/>
      <w:marTop w:val="0"/>
      <w:marBottom w:val="0"/>
      <w:divBdr>
        <w:top w:val="none" w:sz="0" w:space="0" w:color="auto"/>
        <w:left w:val="none" w:sz="0" w:space="0" w:color="auto"/>
        <w:bottom w:val="none" w:sz="0" w:space="0" w:color="auto"/>
        <w:right w:val="none" w:sz="0" w:space="0" w:color="auto"/>
      </w:divBdr>
      <w:divsChild>
        <w:div w:id="20861171">
          <w:marLeft w:val="1166"/>
          <w:marRight w:val="0"/>
          <w:marTop w:val="0"/>
          <w:marBottom w:val="0"/>
          <w:divBdr>
            <w:top w:val="none" w:sz="0" w:space="0" w:color="auto"/>
            <w:left w:val="none" w:sz="0" w:space="0" w:color="auto"/>
            <w:bottom w:val="none" w:sz="0" w:space="0" w:color="auto"/>
            <w:right w:val="none" w:sz="0" w:space="0" w:color="auto"/>
          </w:divBdr>
        </w:div>
        <w:div w:id="71975615">
          <w:marLeft w:val="1166"/>
          <w:marRight w:val="0"/>
          <w:marTop w:val="0"/>
          <w:marBottom w:val="0"/>
          <w:divBdr>
            <w:top w:val="none" w:sz="0" w:space="0" w:color="auto"/>
            <w:left w:val="none" w:sz="0" w:space="0" w:color="auto"/>
            <w:bottom w:val="none" w:sz="0" w:space="0" w:color="auto"/>
            <w:right w:val="none" w:sz="0" w:space="0" w:color="auto"/>
          </w:divBdr>
        </w:div>
        <w:div w:id="140856582">
          <w:marLeft w:val="1166"/>
          <w:marRight w:val="0"/>
          <w:marTop w:val="0"/>
          <w:marBottom w:val="0"/>
          <w:divBdr>
            <w:top w:val="none" w:sz="0" w:space="0" w:color="auto"/>
            <w:left w:val="none" w:sz="0" w:space="0" w:color="auto"/>
            <w:bottom w:val="none" w:sz="0" w:space="0" w:color="auto"/>
            <w:right w:val="none" w:sz="0" w:space="0" w:color="auto"/>
          </w:divBdr>
        </w:div>
        <w:div w:id="284507518">
          <w:marLeft w:val="1166"/>
          <w:marRight w:val="0"/>
          <w:marTop w:val="0"/>
          <w:marBottom w:val="0"/>
          <w:divBdr>
            <w:top w:val="none" w:sz="0" w:space="0" w:color="auto"/>
            <w:left w:val="none" w:sz="0" w:space="0" w:color="auto"/>
            <w:bottom w:val="none" w:sz="0" w:space="0" w:color="auto"/>
            <w:right w:val="none" w:sz="0" w:space="0" w:color="auto"/>
          </w:divBdr>
        </w:div>
        <w:div w:id="630138113">
          <w:marLeft w:val="547"/>
          <w:marRight w:val="0"/>
          <w:marTop w:val="0"/>
          <w:marBottom w:val="0"/>
          <w:divBdr>
            <w:top w:val="none" w:sz="0" w:space="0" w:color="auto"/>
            <w:left w:val="none" w:sz="0" w:space="0" w:color="auto"/>
            <w:bottom w:val="none" w:sz="0" w:space="0" w:color="auto"/>
            <w:right w:val="none" w:sz="0" w:space="0" w:color="auto"/>
          </w:divBdr>
        </w:div>
        <w:div w:id="1193766580">
          <w:marLeft w:val="1166"/>
          <w:marRight w:val="0"/>
          <w:marTop w:val="0"/>
          <w:marBottom w:val="0"/>
          <w:divBdr>
            <w:top w:val="none" w:sz="0" w:space="0" w:color="auto"/>
            <w:left w:val="none" w:sz="0" w:space="0" w:color="auto"/>
            <w:bottom w:val="none" w:sz="0" w:space="0" w:color="auto"/>
            <w:right w:val="none" w:sz="0" w:space="0" w:color="auto"/>
          </w:divBdr>
        </w:div>
        <w:div w:id="1379938354">
          <w:marLeft w:val="1166"/>
          <w:marRight w:val="0"/>
          <w:marTop w:val="0"/>
          <w:marBottom w:val="0"/>
          <w:divBdr>
            <w:top w:val="none" w:sz="0" w:space="0" w:color="auto"/>
            <w:left w:val="none" w:sz="0" w:space="0" w:color="auto"/>
            <w:bottom w:val="none" w:sz="0" w:space="0" w:color="auto"/>
            <w:right w:val="none" w:sz="0" w:space="0" w:color="auto"/>
          </w:divBdr>
        </w:div>
        <w:div w:id="1430159043">
          <w:marLeft w:val="547"/>
          <w:marRight w:val="0"/>
          <w:marTop w:val="0"/>
          <w:marBottom w:val="0"/>
          <w:divBdr>
            <w:top w:val="none" w:sz="0" w:space="0" w:color="auto"/>
            <w:left w:val="none" w:sz="0" w:space="0" w:color="auto"/>
            <w:bottom w:val="none" w:sz="0" w:space="0" w:color="auto"/>
            <w:right w:val="none" w:sz="0" w:space="0" w:color="auto"/>
          </w:divBdr>
        </w:div>
        <w:div w:id="2012249243">
          <w:marLeft w:val="547"/>
          <w:marRight w:val="0"/>
          <w:marTop w:val="0"/>
          <w:marBottom w:val="0"/>
          <w:divBdr>
            <w:top w:val="none" w:sz="0" w:space="0" w:color="auto"/>
            <w:left w:val="none" w:sz="0" w:space="0" w:color="auto"/>
            <w:bottom w:val="none" w:sz="0" w:space="0" w:color="auto"/>
            <w:right w:val="none" w:sz="0" w:space="0" w:color="auto"/>
          </w:divBdr>
        </w:div>
      </w:divsChild>
    </w:div>
    <w:div w:id="196792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www.bnb.gov.br/relatorios-de-sustentabilida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nb.gov.br/documents/8047884/0/RELAT%C3%93RIO+2020+-+CREDIAMIGO+E+AGROAMIGO.pdf/c7f201d6-a503-3152-505e-f5c0e1022b0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C0F9C-3D5B-44BF-9E35-42B2C0336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295</Words>
  <Characters>1599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BRAGA BARRETO SAMPAIO</dc:creator>
  <cp:keywords/>
  <dc:description/>
  <cp:lastModifiedBy>LARA CARACCIOLO AMORELLI</cp:lastModifiedBy>
  <cp:revision>3</cp:revision>
  <dcterms:created xsi:type="dcterms:W3CDTF">2021-06-25T20:50:00Z</dcterms:created>
  <dcterms:modified xsi:type="dcterms:W3CDTF">2021-06-25T20:51:00Z</dcterms:modified>
</cp:coreProperties>
</file>